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A1" w:rsidRDefault="00724CD8">
      <w:pPr>
        <w:jc w:val="center"/>
        <w:rPr>
          <w:b/>
          <w:sz w:val="28"/>
        </w:rPr>
      </w:pPr>
      <w:r>
        <w:rPr>
          <w:b/>
          <w:sz w:val="28"/>
        </w:rPr>
        <w:t>TOWN OF MOUNT DESERT</w:t>
      </w:r>
    </w:p>
    <w:p w:rsidR="008440A1" w:rsidRDefault="00724CD8">
      <w:pPr>
        <w:jc w:val="center"/>
        <w:rPr>
          <w:b/>
          <w:sz w:val="28"/>
        </w:rPr>
      </w:pPr>
      <w:r>
        <w:rPr>
          <w:b/>
          <w:sz w:val="28"/>
        </w:rPr>
        <w:t>SHELLFISH COMMITTEE</w:t>
      </w:r>
    </w:p>
    <w:p w:rsidR="008440A1" w:rsidRDefault="00724CD8">
      <w:pPr>
        <w:jc w:val="center"/>
      </w:pPr>
      <w:r>
        <w:rPr>
          <w:b/>
          <w:sz w:val="28"/>
        </w:rPr>
        <w:t>Meeting Minutes</w:t>
      </w:r>
    </w:p>
    <w:p w:rsidR="008440A1" w:rsidRDefault="00724CD8">
      <w:pPr>
        <w:pStyle w:val="Heading1"/>
      </w:pPr>
      <w:r>
        <w:t>Wednesday, May 18, 2016</w:t>
      </w:r>
    </w:p>
    <w:p w:rsidR="008440A1" w:rsidRDefault="008440A1"/>
    <w:p w:rsidR="008440A1" w:rsidRDefault="00724CD8">
      <w:pPr>
        <w:jc w:val="center"/>
        <w:rPr>
          <w:b/>
        </w:rPr>
      </w:pPr>
      <w:r>
        <w:rPr>
          <w:b/>
        </w:rPr>
        <w:t>Town Hall Meeting Room</w:t>
      </w:r>
    </w:p>
    <w:p w:rsidR="008440A1" w:rsidRDefault="00724CD8">
      <w:pPr>
        <w:pStyle w:val="Heading2"/>
      </w:pPr>
      <w:r>
        <w:t>21 Sea Street</w:t>
      </w:r>
    </w:p>
    <w:p w:rsidR="008440A1" w:rsidRDefault="00724CD8">
      <w:pPr>
        <w:jc w:val="center"/>
        <w:rPr>
          <w:b/>
        </w:rPr>
      </w:pPr>
      <w:r>
        <w:rPr>
          <w:b/>
        </w:rPr>
        <w:t>Northeast Harbor</w:t>
      </w:r>
    </w:p>
    <w:p w:rsidR="008440A1" w:rsidRDefault="008440A1">
      <w:pPr>
        <w:jc w:val="center"/>
        <w:rPr>
          <w:sz w:val="22"/>
        </w:rPr>
      </w:pPr>
    </w:p>
    <w:p w:rsidR="008440A1" w:rsidRDefault="008440A1">
      <w:pPr>
        <w:jc w:val="center"/>
        <w:rPr>
          <w:sz w:val="22"/>
        </w:rPr>
      </w:pPr>
    </w:p>
    <w:p w:rsidR="008440A1" w:rsidRDefault="008440A1">
      <w:pPr>
        <w:jc w:val="center"/>
        <w:rPr>
          <w:sz w:val="22"/>
        </w:rPr>
      </w:pPr>
    </w:p>
    <w:p w:rsidR="008440A1" w:rsidRDefault="00724CD8">
      <w:pPr>
        <w:numPr>
          <w:ilvl w:val="0"/>
          <w:numId w:val="2"/>
        </w:numPr>
        <w:ind w:left="720"/>
      </w:pPr>
      <w:r>
        <w:t>Call to order 4:45 p.m.</w:t>
      </w:r>
    </w:p>
    <w:p w:rsidR="008440A1" w:rsidRDefault="00724CD8">
      <w:pPr>
        <w:spacing w:before="120"/>
        <w:ind w:left="720"/>
      </w:pPr>
      <w:r>
        <w:t xml:space="preserve">Chairman Victor Doyle </w:t>
      </w:r>
      <w:r>
        <w:t xml:space="preserve">called the meeting to order; also present were Committee members Earl Moore, Tom Falt, and John Stanley; Commercial License Holders David Dunton and Ben Hamor; Shellfish Warden Leigh Guildford; DMR Area Biologist, Heidi Leighton; Town Clerk liaison Claire </w:t>
      </w:r>
      <w:r>
        <w:t>Woolfolk; and members of the public</w:t>
      </w:r>
    </w:p>
    <w:p w:rsidR="008440A1" w:rsidRDefault="008440A1">
      <w:pPr>
        <w:spacing w:before="120"/>
        <w:ind w:left="720"/>
      </w:pPr>
    </w:p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Warden Update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 xml:space="preserve">No summons or warnings have been issued since the last meeting.  Warden Guildford reported that Chief Willis requested a transfer of $2,500 from the Shellfish Reserve account to the Shellfish Revenue </w:t>
      </w:r>
      <w:r>
        <w:t>Account from Town Manager Lunt.  The monies will go to purchase equipment for the wardens and supplies for the Shellfish Committee to seed mud flats.</w:t>
      </w:r>
    </w:p>
    <w:p w:rsidR="008440A1" w:rsidRDefault="008440A1"/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Water Quality Update – DMR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>Hannah Horecka was unavailable to attend the meeting.  Heidi Leighton reporte</w:t>
      </w:r>
      <w:r>
        <w:t>d that she and Hannah plan to do a walking survey of Gilpatrick Cove next week.  Heidi will continue to try and move Water Quality meeting participation along from her end.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>There was discussion over communication problems between various parties (DMR Wate</w:t>
      </w:r>
      <w:r>
        <w:t>r Quality, DEP, MDWW, and the Shellfish Committee).  It was suggested that a meeting with representatives from each party be held so that the issue could be addressed.</w:t>
      </w:r>
    </w:p>
    <w:p w:rsidR="008440A1" w:rsidRDefault="008440A1">
      <w:pPr>
        <w:ind w:left="720"/>
      </w:pPr>
    </w:p>
    <w:p w:rsidR="008440A1" w:rsidRDefault="008440A1">
      <w:pPr>
        <w:ind w:left="720"/>
      </w:pPr>
    </w:p>
    <w:p w:rsidR="008440A1" w:rsidRDefault="00724CD8">
      <w:pPr>
        <w:spacing w:before="120"/>
        <w:ind w:left="720"/>
      </w:pPr>
      <w:r>
        <w:lastRenderedPageBreak/>
        <w:t xml:space="preserve">MOTION: John Stanley moved, seconded by Tom Falt, to obtain the Gilpatrick Cove storm </w:t>
      </w:r>
      <w:r>
        <w:t>drain sewage report and documentation that the pollution problem has been resolved from Mount Desert’s Wastewater Department.  The vote was in favor 4-0.</w:t>
      </w:r>
    </w:p>
    <w:p w:rsidR="008440A1" w:rsidRDefault="008440A1"/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DMR Classification Change to Gary Moore Cove, Mount Desert</w:t>
      </w:r>
    </w:p>
    <w:p w:rsidR="008440A1" w:rsidRDefault="00724CD8">
      <w:pPr>
        <w:spacing w:before="120"/>
        <w:ind w:left="720"/>
      </w:pPr>
      <w:r>
        <w:t>Victor Doyle reported that the classificat</w:t>
      </w:r>
      <w:r>
        <w:t>ion has changed from a seasonal conditional area to approved year round harvesting.</w:t>
      </w:r>
    </w:p>
    <w:p w:rsidR="008440A1" w:rsidRDefault="008440A1">
      <w:pPr>
        <w:spacing w:before="120"/>
        <w:ind w:left="720"/>
      </w:pPr>
    </w:p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Licensed Digger Conservation Meeting Requirements – Credit Approval</w:t>
      </w:r>
    </w:p>
    <w:p w:rsidR="008440A1" w:rsidRDefault="00724CD8">
      <w:pPr>
        <w:spacing w:before="120"/>
        <w:ind w:left="720"/>
      </w:pPr>
      <w:r>
        <w:t xml:space="preserve">Victor Doyle, David Dunton, and Ben Hamor have met the requirements to be grandfathered for commercial </w:t>
      </w:r>
      <w:r>
        <w:t>licensing in July.</w:t>
      </w:r>
    </w:p>
    <w:p w:rsidR="008440A1" w:rsidRDefault="00724CD8">
      <w:pPr>
        <w:spacing w:before="120"/>
        <w:ind w:left="720"/>
      </w:pPr>
      <w:r>
        <w:t xml:space="preserve">Zachary Damon and Erick Swanson have </w:t>
      </w:r>
      <w:r>
        <w:rPr>
          <w:i/>
        </w:rPr>
        <w:t>not</w:t>
      </w:r>
      <w:r>
        <w:t xml:space="preserve"> met the requirements as commercial license holders.  Their licenses will be included in the lottery for remaining residential commercial licenses in July.</w:t>
      </w:r>
    </w:p>
    <w:p w:rsidR="008440A1" w:rsidRDefault="00724CD8">
      <w:pPr>
        <w:spacing w:before="120"/>
        <w:ind w:left="720"/>
      </w:pPr>
      <w:r>
        <w:t>Heidi reminded the committee that the all</w:t>
      </w:r>
      <w:r>
        <w:t xml:space="preserve">ocation plan has changed to 9 residential commercial licenses and 1 non-resident commercial license.  All residential commercial licenses not sold after 90 days will be available to </w:t>
      </w:r>
      <w:r>
        <w:rPr>
          <w:i/>
        </w:rPr>
        <w:t>anyone</w:t>
      </w:r>
      <w:r>
        <w:t xml:space="preserve"> at the resident commercial license rate.</w:t>
      </w:r>
    </w:p>
    <w:p w:rsidR="008440A1" w:rsidRDefault="008440A1">
      <w:pPr>
        <w:ind w:left="795"/>
      </w:pPr>
    </w:p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Seed Transfer Update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>Vic</w:t>
      </w:r>
      <w:r>
        <w:t xml:space="preserve">tor reported that he was told by a representative of the residents of Bartlett Island that they would not allow the installation of nets off their shore; that it would qualify as aquaculture and that Maine law would side with the land owner.  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 xml:space="preserve">Heidi said </w:t>
      </w:r>
      <w:r>
        <w:t xml:space="preserve">that she would check with the State on the matter, but that under Title 12 §6671. </w:t>
      </w:r>
      <w:r>
        <w:rPr>
          <w:i/>
        </w:rPr>
        <w:t>Municipal Shellfish Conservation Programs</w:t>
      </w:r>
      <w:r>
        <w:t>, this project is considered Municipal Resource Management and that the State has issued a permit for this purpose and the Army Corp.</w:t>
      </w:r>
      <w:r>
        <w:t xml:space="preserve"> permit is in hand.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>Victor stated that he would wait to hear from Heidi, in reference to the legality of predator netting, and the state's definition of aquaculture as well as wild stock improvement.</w:t>
      </w:r>
    </w:p>
    <w:p w:rsidR="008440A1" w:rsidRDefault="008440A1"/>
    <w:p w:rsidR="008440A1" w:rsidRDefault="00724CD8">
      <w:pPr>
        <w:ind w:left="720"/>
      </w:pPr>
      <w:r>
        <w:t xml:space="preserve">Victor further reported that Manomet Inc. has </w:t>
      </w:r>
      <w:r>
        <w:t>withdrawn their funding of the project due to the risk of  legal procedures that could result from the "gray area" infringement of riparian landowners.</w:t>
      </w:r>
    </w:p>
    <w:p w:rsidR="008440A1" w:rsidRDefault="008440A1"/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Request to Purchase Seed Using Shellfish Committee Funds</w:t>
      </w:r>
    </w:p>
    <w:p w:rsidR="008440A1" w:rsidRDefault="008440A1">
      <w:pPr>
        <w:ind w:left="720"/>
      </w:pPr>
    </w:p>
    <w:p w:rsidR="008440A1" w:rsidRDefault="00724CD8">
      <w:pPr>
        <w:ind w:left="720"/>
      </w:pPr>
      <w:r>
        <w:t>It was agreed that seeding of the Bartlett Is</w:t>
      </w:r>
      <w:r>
        <w:t>land area could still take place without the nets.  Warden Guildford stated that some monies had been requested for the purpose of purchasing seed.</w:t>
      </w:r>
    </w:p>
    <w:p w:rsidR="008440A1" w:rsidRDefault="00724CD8">
      <w:pPr>
        <w:spacing w:before="120"/>
        <w:ind w:left="720"/>
      </w:pPr>
      <w:bookmarkStart w:id="0" w:name="_GoBack"/>
      <w:bookmarkEnd w:id="0"/>
      <w:r>
        <w:lastRenderedPageBreak/>
        <w:t xml:space="preserve">MOTION: Tom </w:t>
      </w:r>
      <w:proofErr w:type="spellStart"/>
      <w:r>
        <w:t>Falt</w:t>
      </w:r>
      <w:proofErr w:type="spellEnd"/>
      <w:r>
        <w:t xml:space="preserve"> moved, seconded by John Stanley, to spend up to $800 from the Shellfish Revenue Account </w:t>
      </w:r>
      <w:r>
        <w:t># 1440500-40502 to purchase seed. The vote was in favor 4-0.</w:t>
      </w:r>
    </w:p>
    <w:p w:rsidR="008440A1" w:rsidRDefault="008440A1"/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Conservation Closure in Birch Cove; Transplant Permit for Closure areas</w:t>
      </w:r>
    </w:p>
    <w:p w:rsidR="008440A1" w:rsidRDefault="008440A1"/>
    <w:p w:rsidR="008440A1" w:rsidRDefault="00724CD8">
      <w:pPr>
        <w:ind w:left="720"/>
      </w:pPr>
      <w:r>
        <w:t>A request for permit  approval to transplant clams from one closure area to another was discussed.  Victor Doyle stated t</w:t>
      </w:r>
      <w:r>
        <w:t>hat the town would be able to transfer sub legal clams from a closed area such as Northeast Harbor to the conservation closure in Birch Cove with such permit.  Heidi said that the application would likely be approved.</w:t>
      </w:r>
    </w:p>
    <w:p w:rsidR="008440A1" w:rsidRDefault="008440A1"/>
    <w:p w:rsidR="008440A1" w:rsidRDefault="00724CD8">
      <w:pPr>
        <w:spacing w:before="120"/>
        <w:ind w:left="720"/>
      </w:pPr>
      <w:r>
        <w:t xml:space="preserve">MOTION: John Stanley moved, seconded </w:t>
      </w:r>
      <w:r>
        <w:t>by Tom Falt, to apply for a DMR transplant permit to harvest sub-legal clams from one closure area to another within the Town.  The vote was in favor 4-0.</w:t>
      </w:r>
    </w:p>
    <w:p w:rsidR="008440A1" w:rsidRDefault="008440A1">
      <w:pPr>
        <w:ind w:left="90"/>
        <w:rPr>
          <w:sz w:val="22"/>
        </w:rPr>
      </w:pPr>
    </w:p>
    <w:p w:rsidR="008440A1" w:rsidRDefault="00724CD8">
      <w:pPr>
        <w:pStyle w:val="ListParagraph"/>
        <w:numPr>
          <w:ilvl w:val="0"/>
          <w:numId w:val="2"/>
        </w:numPr>
        <w:ind w:left="720"/>
      </w:pPr>
      <w:r>
        <w:t>Such other business as may be legally conducted</w:t>
      </w:r>
    </w:p>
    <w:p w:rsidR="008440A1" w:rsidRDefault="008440A1">
      <w:pPr>
        <w:ind w:left="795"/>
      </w:pPr>
    </w:p>
    <w:p w:rsidR="008440A1" w:rsidRDefault="00724CD8">
      <w:pPr>
        <w:ind w:left="720"/>
      </w:pPr>
      <w:r>
        <w:t>None presented.</w:t>
      </w:r>
    </w:p>
    <w:p w:rsidR="008440A1" w:rsidRDefault="008440A1">
      <w:pPr>
        <w:ind w:left="795"/>
      </w:pPr>
    </w:p>
    <w:p w:rsidR="008440A1" w:rsidRDefault="00724CD8">
      <w:pPr>
        <w:numPr>
          <w:ilvl w:val="0"/>
          <w:numId w:val="2"/>
        </w:numPr>
      </w:pPr>
      <w:r>
        <w:t>Adjourn at 6:30 p.m.</w:t>
      </w:r>
    </w:p>
    <w:p w:rsidR="008440A1" w:rsidRDefault="00724CD8">
      <w:pPr>
        <w:spacing w:before="120"/>
        <w:ind w:left="795"/>
      </w:pPr>
      <w:r>
        <w:t xml:space="preserve">MOTION: John </w:t>
      </w:r>
      <w:r>
        <w:t>Stanley moved, seconded by Tom Falt, to adjourn the meeting.  The vote was in favor 4-0.</w:t>
      </w:r>
    </w:p>
    <w:sectPr w:rsidR="008440A1">
      <w:footerReference w:type="default" r:id="rId8"/>
      <w:headerReference w:type="first" r:id="rId9"/>
      <w:pgSz w:w="12240" w:h="15840"/>
      <w:pgMar w:top="1440" w:right="1800" w:bottom="11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A1" w:rsidRDefault="00724CD8">
      <w:r>
        <w:separator/>
      </w:r>
    </w:p>
  </w:endnote>
  <w:endnote w:type="continuationSeparator" w:id="0">
    <w:p w:rsidR="008440A1" w:rsidRDefault="0072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A1" w:rsidRDefault="00724CD8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440A1" w:rsidRDefault="00844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A1" w:rsidRDefault="00724CD8">
      <w:r>
        <w:separator/>
      </w:r>
    </w:p>
  </w:footnote>
  <w:footnote w:type="continuationSeparator" w:id="0">
    <w:p w:rsidR="008440A1" w:rsidRDefault="0072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A1" w:rsidRDefault="00724C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EA5C72" wp14:editId="01E964C6">
              <wp:simplePos x="0" y="0"/>
              <wp:positionH relativeFrom="column">
                <wp:posOffset>2072640</wp:posOffset>
              </wp:positionH>
              <wp:positionV relativeFrom="paragraph">
                <wp:posOffset>-45720</wp:posOffset>
              </wp:positionV>
              <wp:extent cx="3429000" cy="1459230"/>
              <wp:effectExtent l="0" t="0" r="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440A1" w:rsidRDefault="00724CD8">
                          <w:pPr>
                            <w:spacing w:before="240" w:line="240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36"/>
                              <w:szCs w:val="36"/>
                            </w:rPr>
                            <w:t>Town of Mount Desert</w:t>
                          </w:r>
                        </w:p>
                        <w:p w:rsidR="008440A1" w:rsidRDefault="00724CD8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21 Sea Street, P.O. Box 248</w:t>
                          </w:r>
                        </w:p>
                        <w:p w:rsidR="008440A1" w:rsidRDefault="00724CD8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Northeast Harbor, ME  04662-0248</w:t>
                          </w:r>
                        </w:p>
                        <w:p w:rsidR="008440A1" w:rsidRDefault="008440A1">
                          <w:pPr>
                            <w:spacing w:line="240" w:lineRule="exac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8440A1" w:rsidRDefault="00724CD8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Telephone     207-276-5531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>Fax     207-276-3232</w:t>
                          </w:r>
                        </w:p>
                        <w:p w:rsidR="008440A1" w:rsidRDefault="00724CD8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Web Address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www.mtdesert.org</w:t>
                            </w:r>
                          </w:hyperlink>
                        </w:p>
                        <w:p w:rsidR="008440A1" w:rsidRDefault="008440A1">
                          <w:pPr>
                            <w:spacing w:line="240" w:lineRule="exact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a14="http://schemas.microsoft.com/office/drawing/2010/main" xmlns:pic="http://schemas.openxmlformats.org/drawingml/2006/picture" xmlns:mv="urn:schemas-microsoft-com:mac:vml" xmlns:ve="http://schemas.openxmlformats.org/markup-compatibility/2006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.2pt;margin-top:-3.6pt;width:270pt;height:1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A6b8hgIAABAFAAAOAAAAZHJzL2Uyb0RvYy54bWysVNtu2zAMfR+wfxD0nvoyp42NOkUvyzCg uwDtPkCR5FiYLWqSErsb9u+j5CZNdwGGYXlwRJE6InkOdX4x9h3ZSesU6JpmJyklUnMQSm9q+ul+ NVtQ4jzTgnWgZU0fpKMXy5cvzgdTyRxa6IS0BEG0qwZT09Z7UyWJ463smTsBIzU6G7A982jaTSIs GxC975I8TU+TAawwFrh0DndvJiddRvymkdx/aBonPelqirn5+LXxuw7fZHnOqo1lplX8MQ32D1n0 TGm89AB1wzwjW6t+geoVt+Cg8Scc+gSaRnEZa8BqsvSnau5aZmSsBZvjzKFN7v/B8ve7j5YoUdOc Es16pOhejp5cwUiy0J3BuAqD7gyG+RG3keVYqTO3wD87ouG6ZXojL62FoZVMYHbxZHJ0dMJxAWQ9 vAOB17Cthwg0NrYPrcNmEERHlh4OzIRUOG6+KvIyTdHF0ZcV8zJ/FblLWLU/bqzzbyT0JCxqapH6 CM92t85jIRi6Dwm3OeiUWKmui4bdrK87S3YMZbKKv1A7HnkW1ukQrCEcm9zTDmaJdwRfyDfS/q3M 8iK9ysvZ6nRxNitWxXxWnqWLWZqVV+VpWpTFzep7SDArqlYJIfWt0nIvwaz4O4ofh2ESTxQhGWpa zvP5xNEfi8Rmhn7+psheeZzITvU1XRyCWBWYfa0FHmCVZ6qb1snz9GPLsAf7/9iVqINA/SQCP65H RAniWIN4QEVYQL6QW3xGcNGC/UrJgCNZU/dly6ykpHurUVVlVhRhhqNRzM9yNOyxZ33sYZojVE09 JdPy2k9zvzVWbVq8adKxhktUYqOiRp6ywhKCgWMXi3l8IsJcH9sx6ukhW/4AAAD//wMAUEsDBBQA BgAIAAAAIQCllvmM3gAAAAoBAAAPAAAAZHJzL2Rvd25yZXYueG1sTI/BTsMwDIbvSLxDZCQuaEsJ Ix2l6QRIIK4bewC39dqKxqmabO3enuzEjrY//f7+fDPbXpxo9J1jA4/LBARx5eqOGwP7n8/FGoQP yDX2jsnAmTxsitubHLPaTbyl0y40Ioawz9BAG8KQSemrliz6pRuI4+3gRoshjmMj6xGnGG57qZJE S4sdxw8tDvTRUvW7O1oDh+/p4fllKr/CPt2u9Dt2aenOxtzfzW+vIALN4R+Gi35UhyI6le7ItRe9 gSelVxE1sEgViAis9WVRGlBKaZBFLq8rFH8AAAD//wMAUEsBAi0AFAAGAAgAAAAhALaDOJL+AAAA 4QEAABMAAAAAAAAAAAAAAAAAAAAAAFtDb250ZW50X1R5cGVzXS54bWxQSwECLQAUAAYACAAAACEA OP0h/9YAAACUAQAACwAAAAAAAAAAAAAAAAAvAQAAX3JlbHMvLnJlbHNQSwECLQAUAAYACAAAACEA /QOm/IYCAAAQBQAADgAAAAAAAAAAAAAAAAAuAgAAZHJzL2Uyb0RvYy54bWxQSwECLQAUAAYACAAA ACEApZb5jN4AAAAKAQAADwAAAAAAAAAAAAAAAADgBAAAZHJzL2Rvd25yZXYueG1sUEsFBgAAAAAE AAQA8wAAAOsFAAAAAA== " stroked="f">
              <v:textbox>
                <w:txbxContent>
                  <w:p>
                    <w:pPr>
                      <w:jc w:val="center"/>
                      <w:spacing w:before="240" w:line="240" w:lineRule="exact"/>
                      <w:rPr>
                        <w:b w:val="1"/>
                        <w:i w:val="1"/>
                        <w:sz w:val="36.0"/>
                        <w:szCs w:val="36.0"/>
                        <w:rFonts w:ascii="Times New Roman" w:hAnsi="Times New Roman"/>
                      </w:rPr>
                    </w:pPr>
                    <w:r>
                      <w:rPr>
                        <w:b w:val="1"/>
                        <w:i w:val="1"/>
                        <w:sz w:val="36.0"/>
                        <w:szCs w:val="36.0"/>
                        <w:rFonts w:ascii="Times New Roman" w:hAnsi="Times New Roman"/>
                      </w:rPr>
                      <w:t>Town of Mount Desert</w:t>
                    </w:r>
                  </w:p>
                  <w:p>
                    <w:pPr>
                      <w:jc w:val="center"/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21 Sea Street, P.O. Box 248</w:t>
                    </w:r>
                  </w:p>
                  <w:p>
                    <w:pPr>
                      <w:jc w:val="center"/>
                      <w:spacing w:line="240" w:lineRule="exac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Northeast Harbor, ME  04662-0248</w:t>
                    </w:r>
                  </w:p>
                  <w:p>
                    <w:pPr>
                      <w:spacing w:line="240" w:lineRule="exact"/>
                      <w:rPr>
                        <w:sz w:val="16.0"/>
                        <w:szCs w:val="16.0"/>
                        <w:rFonts w:ascii="Times New Roman" w:hAnsi="Times New Roman"/>
                      </w:rPr>
                    </w:pPr>
                  </w:p>
                  <w:p>
                    <w:pPr>
                      <w:jc w:val="center"/>
                      <w:spacing w:line="240" w:lineRule="exact"/>
                      <w:rPr>
                        <w:sz w:val="20.0"/>
                        <w:szCs w:val="20.0"/>
                        <w:rFonts w:ascii="Times New Roman" w:hAnsi="Times New Roman"/>
                      </w:rPr>
                    </w:pP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 xml:space="preserve">Telephone     </w:t>
                    </w: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>207-276-5531</w:t>
                    </w: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ab/>
                      <w:t xml:space="preserve">Fax </w:t>
                    </w: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 xml:space="preserve">    </w:t>
                    </w: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>207-276-3232</w:t>
                    </w:r>
                  </w:p>
                  <w:p>
                    <w:pPr>
                      <w:jc w:val="center"/>
                      <w:spacing w:line="240" w:lineRule="exact"/>
                      <w:rPr>
                        <w:sz w:val="20.0"/>
                        <w:szCs w:val="20.0"/>
                        <w:rFonts w:ascii="Times New Roman" w:hAnsi="Times New Roman"/>
                      </w:rPr>
                    </w:pP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>Web Address</w:t>
                    </w:r>
                    <w:r>
                      <w:rPr>
                        <w:sz w:val="20.0"/>
                        <w:szCs w:val="20.0"/>
                        <w:rFonts w:ascii="Times New Roman" w:hAnsi="Times New Roman"/>
                      </w:rPr>
                      <w:tab/>
                    </w:r>
                    <w:hyperlink w:history="1" r:id="rId2">
                      <w:r>
                        <w:rPr>
                          <w:rStyle w:val="Hyperlink"/>
                          <w:sz w:val="20.0"/>
                          <w:szCs w:val="20.0"/>
                          <w:rFonts w:ascii="Times New Roman" w:hAnsi="Times New Roman"/>
                        </w:rPr>
                        <w:t>www.mtdesert.org</w:t>
                      </w:r>
                    </w:hyperlink>
                  </w:p>
                  <w:p>
                    <w:pPr>
                      <w:jc w:val="center"/>
                      <w:spacing w:line="240" w:lineRule="exact"/>
                      <w:rPr>
                        <w:sz w:val="20.0"/>
                        <w:szCs w:val="20.0"/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CBADDC" wp14:editId="2DD9B807">
          <wp:extent cx="1285875" cy="1343025"/>
          <wp:effectExtent l="0" t="0" r="9525" b="9525"/>
          <wp:docPr id="1" name="Picture 1" descr="Description: LOGO2008_VILLAGES_hi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2008_VILLAGES_hi_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0A1" w:rsidRDefault="008440A1">
    <w:pPr>
      <w:pStyle w:val="Header"/>
      <w:tabs>
        <w:tab w:val="clear" w:pos="4320"/>
        <w:tab w:val="clear" w:pos="8640"/>
        <w:tab w:val="left" w:pos="3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F771E"/>
    <w:multiLevelType w:val="hybridMultilevel"/>
    <w:tmpl w:val="133AF3EE"/>
    <w:lvl w:ilvl="0" w:tplc="88F489C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C83EA0EE">
      <w:start w:val="1"/>
      <w:numFmt w:val="lowerLetter"/>
      <w:lvlText w:val="%2."/>
      <w:lvlJc w:val="left"/>
      <w:pPr>
        <w:ind w:left="1155" w:hanging="360"/>
      </w:pPr>
    </w:lvl>
    <w:lvl w:ilvl="2" w:tplc="663EB2F4">
      <w:start w:val="1"/>
      <w:numFmt w:val="lowerRoman"/>
      <w:lvlText w:val="%3."/>
      <w:lvlJc w:val="right"/>
      <w:pPr>
        <w:ind w:left="1875" w:hanging="180"/>
      </w:pPr>
    </w:lvl>
    <w:lvl w:ilvl="3" w:tplc="D7A8C4AA">
      <w:start w:val="1"/>
      <w:numFmt w:val="decimal"/>
      <w:lvlText w:val="%4."/>
      <w:lvlJc w:val="left"/>
      <w:pPr>
        <w:ind w:left="2595" w:hanging="360"/>
      </w:pPr>
    </w:lvl>
    <w:lvl w:ilvl="4" w:tplc="5FBE6EC6">
      <w:start w:val="1"/>
      <w:numFmt w:val="lowerLetter"/>
      <w:lvlText w:val="%5."/>
      <w:lvlJc w:val="left"/>
      <w:pPr>
        <w:ind w:left="3315" w:hanging="360"/>
      </w:pPr>
    </w:lvl>
    <w:lvl w:ilvl="5" w:tplc="1C5EA25C">
      <w:start w:val="1"/>
      <w:numFmt w:val="lowerRoman"/>
      <w:lvlText w:val="%6."/>
      <w:lvlJc w:val="right"/>
      <w:pPr>
        <w:ind w:left="4035" w:hanging="180"/>
      </w:pPr>
    </w:lvl>
    <w:lvl w:ilvl="6" w:tplc="1D60761C">
      <w:start w:val="1"/>
      <w:numFmt w:val="decimal"/>
      <w:lvlText w:val="%7."/>
      <w:lvlJc w:val="left"/>
      <w:pPr>
        <w:ind w:left="4755" w:hanging="360"/>
      </w:pPr>
    </w:lvl>
    <w:lvl w:ilvl="7" w:tplc="7C0A111E">
      <w:start w:val="1"/>
      <w:numFmt w:val="lowerLetter"/>
      <w:lvlText w:val="%8."/>
      <w:lvlJc w:val="left"/>
      <w:pPr>
        <w:ind w:left="5475" w:hanging="360"/>
      </w:pPr>
    </w:lvl>
    <w:lvl w:ilvl="8" w:tplc="0A745FC8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FB0DBA"/>
    <w:multiLevelType w:val="hybridMultilevel"/>
    <w:tmpl w:val="90D260E4"/>
    <w:lvl w:ilvl="0" w:tplc="A2BC7AD2">
      <w:start w:val="1"/>
      <w:numFmt w:val="lowerLetter"/>
      <w:lvlText w:val="%1."/>
      <w:lvlJc w:val="left"/>
      <w:pPr>
        <w:tabs>
          <w:tab w:val="left" w:pos="0"/>
        </w:tabs>
        <w:ind w:left="720" w:hanging="360"/>
      </w:pPr>
      <w:rPr>
        <w:rFonts w:hint="default"/>
      </w:rPr>
    </w:lvl>
    <w:lvl w:ilvl="1" w:tplc="4176CA9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DC121E8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C15206F8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4AE11A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50AB00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678A97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0E2ACE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394468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6D0D6921"/>
    <w:multiLevelType w:val="hybridMultilevel"/>
    <w:tmpl w:val="C87CE602"/>
    <w:lvl w:ilvl="0" w:tplc="60647B22">
      <w:start w:val="1"/>
      <w:numFmt w:val="upperRoman"/>
      <w:lvlText w:val="%1."/>
      <w:lvlJc w:val="left"/>
      <w:pPr>
        <w:tabs>
          <w:tab w:val="left" w:pos="0"/>
        </w:tabs>
        <w:ind w:left="795" w:hanging="720"/>
      </w:pPr>
      <w:rPr>
        <w:rFonts w:hint="default"/>
      </w:rPr>
    </w:lvl>
    <w:lvl w:ilvl="1" w:tplc="47FABCBE">
      <w:start w:val="1"/>
      <w:numFmt w:val="lowerLetter"/>
      <w:lvlText w:val="%2."/>
      <w:lvlJc w:val="left"/>
      <w:pPr>
        <w:tabs>
          <w:tab w:val="left" w:pos="0"/>
        </w:tabs>
        <w:ind w:left="1155" w:hanging="360"/>
      </w:pPr>
    </w:lvl>
    <w:lvl w:ilvl="2" w:tplc="54E8BBC8">
      <w:start w:val="1"/>
      <w:numFmt w:val="lowerRoman"/>
      <w:lvlText w:val="%3."/>
      <w:lvlJc w:val="right"/>
      <w:pPr>
        <w:tabs>
          <w:tab w:val="left" w:pos="0"/>
        </w:tabs>
        <w:ind w:left="1875" w:hanging="180"/>
      </w:pPr>
    </w:lvl>
    <w:lvl w:ilvl="3" w:tplc="7B3AEF62">
      <w:start w:val="1"/>
      <w:numFmt w:val="decimal"/>
      <w:lvlText w:val="%4."/>
      <w:lvlJc w:val="left"/>
      <w:pPr>
        <w:tabs>
          <w:tab w:val="left" w:pos="0"/>
        </w:tabs>
        <w:ind w:left="2595" w:hanging="360"/>
      </w:pPr>
    </w:lvl>
    <w:lvl w:ilvl="4" w:tplc="390CE458">
      <w:start w:val="1"/>
      <w:numFmt w:val="lowerLetter"/>
      <w:lvlText w:val="%5."/>
      <w:lvlJc w:val="left"/>
      <w:pPr>
        <w:tabs>
          <w:tab w:val="left" w:pos="0"/>
        </w:tabs>
        <w:ind w:left="3315" w:hanging="360"/>
      </w:pPr>
    </w:lvl>
    <w:lvl w:ilvl="5" w:tplc="B3184C84">
      <w:start w:val="1"/>
      <w:numFmt w:val="lowerRoman"/>
      <w:lvlText w:val="%6."/>
      <w:lvlJc w:val="right"/>
      <w:pPr>
        <w:tabs>
          <w:tab w:val="left" w:pos="0"/>
        </w:tabs>
        <w:ind w:left="4035" w:hanging="180"/>
      </w:pPr>
    </w:lvl>
    <w:lvl w:ilvl="6" w:tplc="CDD292E6">
      <w:start w:val="1"/>
      <w:numFmt w:val="decimal"/>
      <w:lvlText w:val="%7."/>
      <w:lvlJc w:val="left"/>
      <w:pPr>
        <w:tabs>
          <w:tab w:val="left" w:pos="0"/>
        </w:tabs>
        <w:ind w:left="4755" w:hanging="360"/>
      </w:pPr>
    </w:lvl>
    <w:lvl w:ilvl="7" w:tplc="2118F780">
      <w:start w:val="1"/>
      <w:numFmt w:val="lowerLetter"/>
      <w:lvlText w:val="%8."/>
      <w:lvlJc w:val="left"/>
      <w:pPr>
        <w:tabs>
          <w:tab w:val="left" w:pos="0"/>
        </w:tabs>
        <w:ind w:left="5475" w:hanging="360"/>
      </w:pPr>
    </w:lvl>
    <w:lvl w:ilvl="8" w:tplc="6A32A146">
      <w:start w:val="1"/>
      <w:numFmt w:val="lowerRoman"/>
      <w:lvlText w:val="%9."/>
      <w:lvlJc w:val="right"/>
      <w:pPr>
        <w:tabs>
          <w:tab w:val="left" w:pos="0"/>
        </w:tabs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E9"/>
    <w:rsid w:val="000349BC"/>
    <w:rsid w:val="000B447F"/>
    <w:rsid w:val="000C0DB2"/>
    <w:rsid w:val="000C270E"/>
    <w:rsid w:val="00126356"/>
    <w:rsid w:val="00145284"/>
    <w:rsid w:val="001503F5"/>
    <w:rsid w:val="001627AA"/>
    <w:rsid w:val="001E1C42"/>
    <w:rsid w:val="002055C3"/>
    <w:rsid w:val="00233C3C"/>
    <w:rsid w:val="00271DC6"/>
    <w:rsid w:val="0039024D"/>
    <w:rsid w:val="0040278C"/>
    <w:rsid w:val="0041087B"/>
    <w:rsid w:val="00427B17"/>
    <w:rsid w:val="00446675"/>
    <w:rsid w:val="00463E08"/>
    <w:rsid w:val="004723BF"/>
    <w:rsid w:val="00474B60"/>
    <w:rsid w:val="004B634C"/>
    <w:rsid w:val="004B6900"/>
    <w:rsid w:val="00555CF4"/>
    <w:rsid w:val="00566CD1"/>
    <w:rsid w:val="00582F92"/>
    <w:rsid w:val="0059114F"/>
    <w:rsid w:val="00595BD3"/>
    <w:rsid w:val="005C506B"/>
    <w:rsid w:val="00613C52"/>
    <w:rsid w:val="006271B7"/>
    <w:rsid w:val="006628DC"/>
    <w:rsid w:val="0067132C"/>
    <w:rsid w:val="00704FFB"/>
    <w:rsid w:val="00724CD8"/>
    <w:rsid w:val="007633AB"/>
    <w:rsid w:val="00774478"/>
    <w:rsid w:val="007954A3"/>
    <w:rsid w:val="007B20E8"/>
    <w:rsid w:val="008440A1"/>
    <w:rsid w:val="00847AF7"/>
    <w:rsid w:val="0085456A"/>
    <w:rsid w:val="00867020"/>
    <w:rsid w:val="008746BC"/>
    <w:rsid w:val="00887F6A"/>
    <w:rsid w:val="008A273B"/>
    <w:rsid w:val="008B1196"/>
    <w:rsid w:val="008C3C78"/>
    <w:rsid w:val="008C5CB5"/>
    <w:rsid w:val="008C6828"/>
    <w:rsid w:val="009064BE"/>
    <w:rsid w:val="009108B2"/>
    <w:rsid w:val="00952233"/>
    <w:rsid w:val="00966FED"/>
    <w:rsid w:val="0097363A"/>
    <w:rsid w:val="00A23FDC"/>
    <w:rsid w:val="00A669A2"/>
    <w:rsid w:val="00A87CE9"/>
    <w:rsid w:val="00AA4AEE"/>
    <w:rsid w:val="00AB050C"/>
    <w:rsid w:val="00AC76D6"/>
    <w:rsid w:val="00AE4E1F"/>
    <w:rsid w:val="00B21CAD"/>
    <w:rsid w:val="00B40909"/>
    <w:rsid w:val="00B63774"/>
    <w:rsid w:val="00B64076"/>
    <w:rsid w:val="00B672A5"/>
    <w:rsid w:val="00B67D14"/>
    <w:rsid w:val="00B80BE9"/>
    <w:rsid w:val="00B97ABC"/>
    <w:rsid w:val="00C52974"/>
    <w:rsid w:val="00C602ED"/>
    <w:rsid w:val="00C60733"/>
    <w:rsid w:val="00D07D32"/>
    <w:rsid w:val="00D275BA"/>
    <w:rsid w:val="00D6560B"/>
    <w:rsid w:val="00D86D84"/>
    <w:rsid w:val="00DA5497"/>
    <w:rsid w:val="00DB190A"/>
    <w:rsid w:val="00DC690E"/>
    <w:rsid w:val="00DE61D6"/>
    <w:rsid w:val="00E15CA8"/>
    <w:rsid w:val="00E21657"/>
    <w:rsid w:val="00E25F7E"/>
    <w:rsid w:val="00E27EC2"/>
    <w:rsid w:val="00E41DDF"/>
    <w:rsid w:val="00E45C29"/>
    <w:rsid w:val="00E55EED"/>
    <w:rsid w:val="00E60A86"/>
    <w:rsid w:val="00E6332D"/>
    <w:rsid w:val="00E64634"/>
    <w:rsid w:val="00E66F88"/>
    <w:rsid w:val="00EC3593"/>
    <w:rsid w:val="00EC51A3"/>
    <w:rsid w:val="00F06E80"/>
    <w:rsid w:val="00F12556"/>
    <w:rsid w:val="00F46321"/>
    <w:rsid w:val="00F6198D"/>
    <w:rsid w:val="00F87185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qFormat/>
    <w:pPr>
      <w:keepNext/>
      <w:jc w:val="center"/>
      <w:outlineLvl w:val="1"/>
    </w:pPr>
  </w:style>
  <w:style w:type="paragraph" w:styleId="Heading3">
    <w:name w:val="heading 3"/>
    <w:basedOn w:val="Normal"/>
    <w:link w:val="Heading3Char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mbria"/>
      <w:b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qFormat/>
    <w:pPr>
      <w:keepNext/>
      <w:jc w:val="center"/>
      <w:outlineLvl w:val="1"/>
    </w:pPr>
  </w:style>
  <w:style w:type="paragraph" w:styleId="Heading3">
    <w:name w:val="heading 3"/>
    <w:basedOn w:val="Normal"/>
    <w:link w:val="Heading3Char"/>
    <w:qFormat/>
    <w:pPr>
      <w:keepNext/>
      <w:keepLines/>
      <w:spacing w:before="200"/>
      <w:outlineLvl w:val="2"/>
    </w:pPr>
    <w:rPr>
      <w:rFonts w:ascii="Cambria"/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link w:val="Header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mbria"/>
      <w:b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tdesert.org" TargetMode="External"/><Relationship Id="rId1" Type="http://schemas.openxmlformats.org/officeDocument/2006/relationships/hyperlink" Target="http://www.mtdes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MOUNT DESERT</vt:lpstr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MOUNT DESERT</dc:title>
  <dc:creator>Kimberly P. Walker</dc:creator>
  <cp:lastModifiedBy>Claire Woolfolk</cp:lastModifiedBy>
  <cp:revision>2</cp:revision>
  <cp:lastPrinted>2016-05-20T11:55:00Z</cp:lastPrinted>
  <dcterms:created xsi:type="dcterms:W3CDTF">2016-05-20T12:15:00Z</dcterms:created>
  <dcterms:modified xsi:type="dcterms:W3CDTF">2016-05-20T12:15:00Z</dcterms:modified>
</cp:coreProperties>
</file>